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65AC3" w14:textId="77777777" w:rsidR="00134373" w:rsidRPr="00134373" w:rsidRDefault="00134373" w:rsidP="00134373">
      <w:pPr>
        <w:rPr>
          <w:rFonts w:asciiTheme="minorBidi" w:hAnsiTheme="minorBidi"/>
          <w:b/>
          <w:bCs/>
          <w:sz w:val="22"/>
          <w:szCs w:val="22"/>
        </w:rPr>
      </w:pPr>
      <w:r w:rsidRPr="00134373">
        <w:rPr>
          <w:rFonts w:asciiTheme="minorBidi" w:hAnsiTheme="minorBidi"/>
          <w:b/>
          <w:bCs/>
          <w:sz w:val="22"/>
          <w:szCs w:val="22"/>
        </w:rPr>
        <w:t>Plan for Instruction in Methods for Enhancing Reproducibility</w:t>
      </w:r>
    </w:p>
    <w:p w14:paraId="22C4C7AE" w14:textId="77777777" w:rsidR="00134373" w:rsidRPr="00134373" w:rsidRDefault="00134373" w:rsidP="00134373">
      <w:pPr>
        <w:rPr>
          <w:rFonts w:asciiTheme="minorBidi" w:hAnsiTheme="minorBidi"/>
          <w:sz w:val="22"/>
          <w:szCs w:val="22"/>
        </w:rPr>
      </w:pPr>
    </w:p>
    <w:p w14:paraId="5B59D469" w14:textId="4659FB1E" w:rsidR="0035037D" w:rsidRPr="00134373" w:rsidRDefault="00134373" w:rsidP="00134373">
      <w:pPr>
        <w:ind w:left="720"/>
        <w:rPr>
          <w:rFonts w:asciiTheme="minorBidi" w:hAnsiTheme="minorBidi"/>
          <w:i/>
          <w:iCs/>
          <w:sz w:val="22"/>
          <w:szCs w:val="22"/>
        </w:rPr>
      </w:pPr>
      <w:r w:rsidRPr="00134373">
        <w:rPr>
          <w:rFonts w:asciiTheme="minorBidi" w:hAnsiTheme="minorBidi"/>
          <w:i/>
          <w:iCs/>
          <w:sz w:val="22"/>
          <w:szCs w:val="22"/>
        </w:rPr>
        <w:t>Individuals are required to comply with the instructions for the Plan for Instruction in Methods for Enhancing Reproducibility as provided in the SF424 (R&amp;R) Application Guide, which include a description of how the program will provide training in scientific reasoning, rigorous research design, relevant experimental methods, consideration of relevant biological variables such as sex, authentication of key biological and/or chemical resources, quantitative approaches, and data analysis and interpretation, as appropriate to the field of study and the level and prior preparation of the trainees.</w:t>
      </w:r>
    </w:p>
    <w:p w14:paraId="05038B30" w14:textId="73FF6961" w:rsidR="00134373" w:rsidRDefault="00134373" w:rsidP="00134373">
      <w:pPr>
        <w:rPr>
          <w:rFonts w:asciiTheme="minorBidi" w:hAnsiTheme="minorBidi"/>
          <w:sz w:val="22"/>
          <w:szCs w:val="22"/>
        </w:rPr>
      </w:pPr>
    </w:p>
    <w:p w14:paraId="62DCBDD7" w14:textId="484DFFE0" w:rsidR="00134373" w:rsidRDefault="00134373" w:rsidP="00134373">
      <w:pPr>
        <w:rPr>
          <w:rFonts w:asciiTheme="minorBidi" w:hAnsiTheme="minorBidi"/>
          <w:sz w:val="22"/>
          <w:szCs w:val="22"/>
        </w:rPr>
      </w:pPr>
    </w:p>
    <w:p w14:paraId="735E1A6D" w14:textId="55163494" w:rsidR="000F4C96" w:rsidRDefault="000F4C96" w:rsidP="00134373">
      <w:pPr>
        <w:rPr>
          <w:rFonts w:asciiTheme="minorBidi" w:hAnsiTheme="minorBidi"/>
          <w:sz w:val="22"/>
          <w:szCs w:val="22"/>
        </w:rPr>
      </w:pPr>
      <w:r>
        <w:rPr>
          <w:rFonts w:asciiTheme="minorBidi" w:hAnsiTheme="minorBidi"/>
          <w:sz w:val="22"/>
          <w:szCs w:val="22"/>
        </w:rPr>
        <w:t xml:space="preserve">Beyond the comprehensive in-person training in responsible conduct of research (RCR) provided through the CTSI, trainees will be required to complete in-person and/or online instruction </w:t>
      </w:r>
      <w:r w:rsidR="005D53D4">
        <w:rPr>
          <w:rFonts w:asciiTheme="minorBidi" w:hAnsiTheme="minorBidi"/>
          <w:sz w:val="22"/>
          <w:szCs w:val="22"/>
        </w:rPr>
        <w:t>appropriate to their research methods on ensuring the collection, management, and analysis of reliable, reproducible data.</w:t>
      </w:r>
    </w:p>
    <w:p w14:paraId="4FEBF412" w14:textId="29FF3C5E" w:rsidR="002123C4" w:rsidRDefault="002123C4" w:rsidP="00134373">
      <w:pPr>
        <w:rPr>
          <w:rFonts w:asciiTheme="minorBidi" w:hAnsiTheme="minorBidi"/>
          <w:sz w:val="22"/>
          <w:szCs w:val="22"/>
        </w:rPr>
      </w:pPr>
    </w:p>
    <w:p w14:paraId="3FBBB638" w14:textId="4E09CE88" w:rsidR="002123C4" w:rsidRDefault="002123C4" w:rsidP="00134373">
      <w:pPr>
        <w:rPr>
          <w:rFonts w:asciiTheme="minorBidi" w:hAnsiTheme="minorBidi"/>
          <w:sz w:val="22"/>
          <w:szCs w:val="22"/>
        </w:rPr>
      </w:pPr>
      <w:r>
        <w:rPr>
          <w:rFonts w:asciiTheme="minorBidi" w:hAnsiTheme="minorBidi"/>
          <w:sz w:val="22"/>
          <w:szCs w:val="22"/>
        </w:rPr>
        <w:t>Many CTSI RCR workshops specifically address methods for enhancing reproducibility, such as:</w:t>
      </w:r>
    </w:p>
    <w:p w14:paraId="3F1A4D37" w14:textId="6F11032E" w:rsidR="002123C4" w:rsidRDefault="002123C4" w:rsidP="00134373">
      <w:pPr>
        <w:rPr>
          <w:rFonts w:asciiTheme="minorBidi" w:hAnsiTheme="minorBidi"/>
          <w:sz w:val="22"/>
          <w:szCs w:val="22"/>
        </w:rPr>
      </w:pPr>
    </w:p>
    <w:p w14:paraId="7AB3F17F" w14:textId="69451E5B" w:rsidR="002123C4" w:rsidRDefault="002123C4" w:rsidP="002123C4">
      <w:pPr>
        <w:pStyle w:val="ListParagraph"/>
        <w:numPr>
          <w:ilvl w:val="0"/>
          <w:numId w:val="7"/>
        </w:numPr>
        <w:rPr>
          <w:rFonts w:asciiTheme="minorBidi" w:hAnsiTheme="minorBidi"/>
          <w:sz w:val="22"/>
          <w:szCs w:val="22"/>
        </w:rPr>
      </w:pPr>
      <w:r>
        <w:rPr>
          <w:rFonts w:asciiTheme="minorBidi" w:hAnsiTheme="minorBidi"/>
          <w:sz w:val="22"/>
          <w:szCs w:val="22"/>
        </w:rPr>
        <w:t>Best Practices for Reproducible Data</w:t>
      </w:r>
    </w:p>
    <w:p w14:paraId="1BAA78EE" w14:textId="40472FA7" w:rsidR="002123C4" w:rsidRDefault="002123C4" w:rsidP="002123C4">
      <w:pPr>
        <w:pStyle w:val="ListParagraph"/>
        <w:numPr>
          <w:ilvl w:val="0"/>
          <w:numId w:val="7"/>
        </w:numPr>
        <w:rPr>
          <w:rFonts w:asciiTheme="minorBidi" w:hAnsiTheme="minorBidi"/>
          <w:sz w:val="22"/>
          <w:szCs w:val="22"/>
        </w:rPr>
      </w:pPr>
      <w:r>
        <w:rPr>
          <w:rFonts w:asciiTheme="minorBidi" w:hAnsiTheme="minorBidi"/>
          <w:sz w:val="22"/>
          <w:szCs w:val="22"/>
        </w:rPr>
        <w:t>Crafting a Data Management Plan</w:t>
      </w:r>
    </w:p>
    <w:p w14:paraId="05FBE86C" w14:textId="16B32692" w:rsidR="002123C4" w:rsidRDefault="002123C4" w:rsidP="002123C4">
      <w:pPr>
        <w:pStyle w:val="ListParagraph"/>
        <w:numPr>
          <w:ilvl w:val="0"/>
          <w:numId w:val="7"/>
        </w:numPr>
        <w:rPr>
          <w:rFonts w:asciiTheme="minorBidi" w:hAnsiTheme="minorBidi"/>
          <w:sz w:val="22"/>
          <w:szCs w:val="22"/>
        </w:rPr>
      </w:pPr>
      <w:r>
        <w:rPr>
          <w:rFonts w:asciiTheme="minorBidi" w:hAnsiTheme="minorBidi"/>
          <w:sz w:val="22"/>
          <w:szCs w:val="22"/>
        </w:rPr>
        <w:t>Is Social Science Reproducible?</w:t>
      </w:r>
    </w:p>
    <w:p w14:paraId="61D95044" w14:textId="20095D87" w:rsidR="002123C4" w:rsidRPr="002123C4" w:rsidRDefault="002123C4" w:rsidP="002123C4">
      <w:pPr>
        <w:pStyle w:val="ListParagraph"/>
        <w:numPr>
          <w:ilvl w:val="0"/>
          <w:numId w:val="7"/>
        </w:numPr>
        <w:rPr>
          <w:rFonts w:asciiTheme="minorBidi" w:hAnsiTheme="minorBidi"/>
          <w:sz w:val="22"/>
          <w:szCs w:val="22"/>
        </w:rPr>
      </w:pPr>
      <w:r>
        <w:rPr>
          <w:rFonts w:asciiTheme="minorBidi" w:hAnsiTheme="minorBidi"/>
          <w:sz w:val="22"/>
          <w:szCs w:val="22"/>
        </w:rPr>
        <w:t>Responsibly Reusing Data</w:t>
      </w:r>
    </w:p>
    <w:p w14:paraId="3F17286C" w14:textId="76768E86" w:rsidR="005D53D4" w:rsidRDefault="005D53D4" w:rsidP="00134373">
      <w:pPr>
        <w:rPr>
          <w:rFonts w:asciiTheme="minorBidi" w:hAnsiTheme="minorBidi"/>
          <w:sz w:val="22"/>
          <w:szCs w:val="22"/>
        </w:rPr>
      </w:pPr>
    </w:p>
    <w:p w14:paraId="0FA257C8" w14:textId="77777777" w:rsidR="00496A39" w:rsidRDefault="00496A39" w:rsidP="005D53D4">
      <w:pPr>
        <w:rPr>
          <w:rFonts w:asciiTheme="minorBidi" w:hAnsiTheme="minorBidi"/>
          <w:sz w:val="22"/>
          <w:szCs w:val="22"/>
        </w:rPr>
      </w:pPr>
      <w:r>
        <w:rPr>
          <w:rFonts w:asciiTheme="minorBidi" w:hAnsiTheme="minorBidi"/>
          <w:sz w:val="22"/>
          <w:szCs w:val="22"/>
        </w:rPr>
        <w:t>All trainees will complete the NIH online module providing an overview of the policy to enhance reproducibility through rigor and transparency and all NIGMS online training modules to enhance data reproducibility:</w:t>
      </w:r>
    </w:p>
    <w:p w14:paraId="59640E2B" w14:textId="77777777" w:rsidR="00496A39" w:rsidRDefault="00496A39" w:rsidP="005D53D4">
      <w:pPr>
        <w:rPr>
          <w:rFonts w:asciiTheme="minorBidi" w:hAnsiTheme="minorBidi"/>
          <w:sz w:val="22"/>
          <w:szCs w:val="22"/>
        </w:rPr>
      </w:pPr>
    </w:p>
    <w:p w14:paraId="66652757" w14:textId="77777777" w:rsidR="00496A39" w:rsidRPr="00496A39" w:rsidRDefault="00496A39" w:rsidP="00496A39">
      <w:pPr>
        <w:pStyle w:val="ListParagraph"/>
        <w:numPr>
          <w:ilvl w:val="0"/>
          <w:numId w:val="3"/>
        </w:numPr>
        <w:rPr>
          <w:rFonts w:asciiTheme="minorBidi" w:hAnsiTheme="minorBidi"/>
          <w:sz w:val="22"/>
          <w:szCs w:val="22"/>
        </w:rPr>
      </w:pPr>
      <w:r w:rsidRPr="00496A39">
        <w:rPr>
          <w:rFonts w:asciiTheme="minorBidi" w:hAnsiTheme="minorBidi"/>
          <w:sz w:val="22"/>
          <w:szCs w:val="22"/>
        </w:rPr>
        <w:t>Module 1: Lack of Transparency</w:t>
      </w:r>
    </w:p>
    <w:p w14:paraId="196EA6CC" w14:textId="77777777" w:rsidR="00496A39" w:rsidRPr="00496A39" w:rsidRDefault="00496A39" w:rsidP="00496A39">
      <w:pPr>
        <w:pStyle w:val="ListParagraph"/>
        <w:numPr>
          <w:ilvl w:val="0"/>
          <w:numId w:val="3"/>
        </w:numPr>
        <w:rPr>
          <w:rFonts w:asciiTheme="minorBidi" w:hAnsiTheme="minorBidi"/>
          <w:sz w:val="22"/>
          <w:szCs w:val="22"/>
        </w:rPr>
      </w:pPr>
      <w:r w:rsidRPr="00496A39">
        <w:rPr>
          <w:rFonts w:asciiTheme="minorBidi" w:hAnsiTheme="minorBidi"/>
          <w:sz w:val="22"/>
          <w:szCs w:val="22"/>
        </w:rPr>
        <w:t>Module 2: Blinding and Randomization</w:t>
      </w:r>
    </w:p>
    <w:p w14:paraId="63FC1266" w14:textId="77777777" w:rsidR="00496A39" w:rsidRPr="00496A39" w:rsidRDefault="00496A39" w:rsidP="00496A39">
      <w:pPr>
        <w:pStyle w:val="ListParagraph"/>
        <w:numPr>
          <w:ilvl w:val="0"/>
          <w:numId w:val="3"/>
        </w:numPr>
        <w:rPr>
          <w:rFonts w:asciiTheme="minorBidi" w:hAnsiTheme="minorBidi"/>
          <w:sz w:val="22"/>
          <w:szCs w:val="22"/>
        </w:rPr>
      </w:pPr>
      <w:r w:rsidRPr="00496A39">
        <w:rPr>
          <w:rFonts w:asciiTheme="minorBidi" w:hAnsiTheme="minorBidi"/>
          <w:sz w:val="22"/>
          <w:szCs w:val="22"/>
        </w:rPr>
        <w:t>Module 3: Biological and Technical Replicates</w:t>
      </w:r>
    </w:p>
    <w:p w14:paraId="27A73EEB" w14:textId="3A8DE73F" w:rsidR="00496A39" w:rsidRPr="00496A39" w:rsidRDefault="00496A39" w:rsidP="00496A39">
      <w:pPr>
        <w:pStyle w:val="ListParagraph"/>
        <w:numPr>
          <w:ilvl w:val="0"/>
          <w:numId w:val="3"/>
        </w:numPr>
        <w:rPr>
          <w:rFonts w:asciiTheme="minorBidi" w:hAnsiTheme="minorBidi"/>
          <w:sz w:val="22"/>
          <w:szCs w:val="22"/>
        </w:rPr>
      </w:pPr>
      <w:r w:rsidRPr="00496A39">
        <w:rPr>
          <w:rFonts w:asciiTheme="minorBidi" w:hAnsiTheme="minorBidi"/>
          <w:sz w:val="22"/>
          <w:szCs w:val="22"/>
        </w:rPr>
        <w:t xml:space="preserve">Module 4: Sample Size, Outliers, and Exclusion Criteria </w:t>
      </w:r>
    </w:p>
    <w:p w14:paraId="162889C2" w14:textId="6043BEBE" w:rsidR="00496A39" w:rsidRDefault="00496A39" w:rsidP="005D53D4">
      <w:pPr>
        <w:rPr>
          <w:rFonts w:asciiTheme="minorBidi" w:hAnsiTheme="minorBidi"/>
          <w:sz w:val="22"/>
          <w:szCs w:val="22"/>
        </w:rPr>
      </w:pPr>
    </w:p>
    <w:p w14:paraId="21F96946" w14:textId="72D23198" w:rsidR="00496A39" w:rsidRDefault="00496A39" w:rsidP="005D53D4">
      <w:pPr>
        <w:rPr>
          <w:rFonts w:asciiTheme="minorBidi" w:hAnsiTheme="minorBidi"/>
          <w:sz w:val="22"/>
          <w:szCs w:val="22"/>
        </w:rPr>
      </w:pPr>
      <w:r>
        <w:rPr>
          <w:rFonts w:asciiTheme="minorBidi" w:hAnsiTheme="minorBidi"/>
          <w:sz w:val="22"/>
          <w:szCs w:val="22"/>
        </w:rPr>
        <w:t>NIGMS provides a clearinghouse with links to several additional modules addressing various topics in reproducibility and transparency that will be used to create individualized training plans, depending on the trainee’s research focus, such as:</w:t>
      </w:r>
    </w:p>
    <w:p w14:paraId="31BE059B" w14:textId="61E9DF60" w:rsidR="00496A39" w:rsidRDefault="00496A39" w:rsidP="005D53D4">
      <w:pPr>
        <w:rPr>
          <w:rFonts w:asciiTheme="minorBidi" w:hAnsiTheme="minorBidi"/>
          <w:sz w:val="22"/>
          <w:szCs w:val="22"/>
        </w:rPr>
      </w:pPr>
    </w:p>
    <w:p w14:paraId="642B5E6F" w14:textId="70ABDB6E" w:rsidR="00496A39" w:rsidRDefault="00496A39" w:rsidP="00496A39">
      <w:pPr>
        <w:pStyle w:val="ListParagraph"/>
        <w:numPr>
          <w:ilvl w:val="0"/>
          <w:numId w:val="4"/>
        </w:numPr>
        <w:rPr>
          <w:rFonts w:asciiTheme="minorBidi" w:hAnsiTheme="minorBidi"/>
          <w:sz w:val="22"/>
          <w:szCs w:val="22"/>
        </w:rPr>
      </w:pPr>
      <w:r>
        <w:rPr>
          <w:rFonts w:asciiTheme="minorBidi" w:hAnsiTheme="minorBidi"/>
          <w:sz w:val="22"/>
          <w:szCs w:val="22"/>
        </w:rPr>
        <w:t>Improving Reproducibility in Research (Indiana University)</w:t>
      </w:r>
    </w:p>
    <w:p w14:paraId="0C0DFE6E" w14:textId="17980C12" w:rsidR="00496A39" w:rsidRDefault="008D163E" w:rsidP="00496A39">
      <w:pPr>
        <w:pStyle w:val="ListParagraph"/>
        <w:numPr>
          <w:ilvl w:val="0"/>
          <w:numId w:val="4"/>
        </w:numPr>
        <w:rPr>
          <w:rFonts w:asciiTheme="minorBidi" w:hAnsiTheme="minorBidi"/>
          <w:sz w:val="22"/>
          <w:szCs w:val="22"/>
        </w:rPr>
      </w:pPr>
      <w:r>
        <w:rPr>
          <w:rFonts w:asciiTheme="minorBidi" w:hAnsiTheme="minorBidi"/>
          <w:sz w:val="22"/>
          <w:szCs w:val="22"/>
        </w:rPr>
        <w:t>Let’s Experiment: A Guide for Scientists Working at the Bench (iBiology)</w:t>
      </w:r>
    </w:p>
    <w:p w14:paraId="3F13D7BF" w14:textId="5ED0A150" w:rsidR="008D163E" w:rsidRDefault="008D163E" w:rsidP="00496A39">
      <w:pPr>
        <w:pStyle w:val="ListParagraph"/>
        <w:numPr>
          <w:ilvl w:val="0"/>
          <w:numId w:val="4"/>
        </w:numPr>
        <w:rPr>
          <w:rFonts w:asciiTheme="minorBidi" w:hAnsiTheme="minorBidi"/>
          <w:sz w:val="22"/>
          <w:szCs w:val="22"/>
        </w:rPr>
      </w:pPr>
      <w:r>
        <w:rPr>
          <w:rFonts w:asciiTheme="minorBidi" w:hAnsiTheme="minorBidi"/>
          <w:sz w:val="22"/>
          <w:szCs w:val="22"/>
        </w:rPr>
        <w:t>Pragmatic and Group-Randomized Trials in Public Health and Medicine (NIH Office of Disease Prevention)</w:t>
      </w:r>
    </w:p>
    <w:p w14:paraId="04C96BBC" w14:textId="3561990A" w:rsidR="008D163E" w:rsidRDefault="008D163E" w:rsidP="00496A39">
      <w:pPr>
        <w:pStyle w:val="ListParagraph"/>
        <w:numPr>
          <w:ilvl w:val="0"/>
          <w:numId w:val="4"/>
        </w:numPr>
        <w:rPr>
          <w:rFonts w:asciiTheme="minorBidi" w:hAnsiTheme="minorBidi"/>
          <w:sz w:val="22"/>
          <w:szCs w:val="22"/>
        </w:rPr>
      </w:pPr>
      <w:r>
        <w:rPr>
          <w:rFonts w:asciiTheme="minorBidi" w:hAnsiTheme="minorBidi"/>
          <w:sz w:val="22"/>
          <w:szCs w:val="22"/>
        </w:rPr>
        <w:t>Controls in Animal Studies for Rigor and Reproducibility (American Physiology Society)</w:t>
      </w:r>
    </w:p>
    <w:p w14:paraId="7C38F344" w14:textId="21C742CF" w:rsidR="008D163E" w:rsidRDefault="008D163E" w:rsidP="00496A39">
      <w:pPr>
        <w:pStyle w:val="ListParagraph"/>
        <w:numPr>
          <w:ilvl w:val="0"/>
          <w:numId w:val="4"/>
        </w:numPr>
        <w:rPr>
          <w:rFonts w:asciiTheme="minorBidi" w:hAnsiTheme="minorBidi"/>
          <w:sz w:val="22"/>
          <w:szCs w:val="22"/>
        </w:rPr>
      </w:pPr>
      <w:r>
        <w:rPr>
          <w:rFonts w:asciiTheme="minorBidi" w:hAnsiTheme="minorBidi"/>
          <w:sz w:val="22"/>
          <w:szCs w:val="22"/>
        </w:rPr>
        <w:t>Statistical Topics for Reproducible Animal Research (Indiana University &amp; University of Alabama)</w:t>
      </w:r>
    </w:p>
    <w:p w14:paraId="745ABD3D" w14:textId="1943F95F" w:rsidR="008D163E" w:rsidRDefault="008D163E" w:rsidP="00496A39">
      <w:pPr>
        <w:pStyle w:val="ListParagraph"/>
        <w:numPr>
          <w:ilvl w:val="0"/>
          <w:numId w:val="4"/>
        </w:numPr>
        <w:rPr>
          <w:rFonts w:asciiTheme="minorBidi" w:hAnsiTheme="minorBidi"/>
          <w:sz w:val="22"/>
          <w:szCs w:val="22"/>
        </w:rPr>
      </w:pPr>
      <w:r>
        <w:rPr>
          <w:rFonts w:asciiTheme="minorBidi" w:hAnsiTheme="minorBidi"/>
          <w:sz w:val="22"/>
          <w:szCs w:val="22"/>
        </w:rPr>
        <w:t>Improving Reproducibility of Computational Microbiome Analysis (University of Michigan)</w:t>
      </w:r>
    </w:p>
    <w:p w14:paraId="5FC260F1" w14:textId="4940DA04" w:rsidR="008D163E" w:rsidRDefault="008D163E" w:rsidP="00496A39">
      <w:pPr>
        <w:pStyle w:val="ListParagraph"/>
        <w:numPr>
          <w:ilvl w:val="0"/>
          <w:numId w:val="4"/>
        </w:numPr>
        <w:rPr>
          <w:rFonts w:asciiTheme="minorBidi" w:hAnsiTheme="minorBidi"/>
          <w:sz w:val="22"/>
          <w:szCs w:val="22"/>
        </w:rPr>
      </w:pPr>
      <w:r>
        <w:rPr>
          <w:rFonts w:asciiTheme="minorBidi" w:hAnsiTheme="minorBidi"/>
          <w:sz w:val="22"/>
          <w:szCs w:val="22"/>
        </w:rPr>
        <w:t>Principles, Statistical and Computational Tools for Reproducible Science (Harvard University)</w:t>
      </w:r>
    </w:p>
    <w:p w14:paraId="57F8A7FD" w14:textId="6AA692F5" w:rsidR="008D163E" w:rsidRDefault="008D163E" w:rsidP="00496A39">
      <w:pPr>
        <w:pStyle w:val="ListParagraph"/>
        <w:numPr>
          <w:ilvl w:val="0"/>
          <w:numId w:val="4"/>
        </w:numPr>
        <w:rPr>
          <w:rFonts w:asciiTheme="minorBidi" w:hAnsiTheme="minorBidi"/>
          <w:sz w:val="22"/>
          <w:szCs w:val="22"/>
        </w:rPr>
      </w:pPr>
      <w:r>
        <w:rPr>
          <w:rFonts w:asciiTheme="minorBidi" w:hAnsiTheme="minorBidi"/>
          <w:sz w:val="22"/>
          <w:szCs w:val="22"/>
        </w:rPr>
        <w:t>Society for Neuroscience Rigor and Reproducibility Training Webinars (Rutgers University)</w:t>
      </w:r>
    </w:p>
    <w:p w14:paraId="1360C029" w14:textId="25D9E6F2" w:rsidR="008D163E" w:rsidRPr="00496A39" w:rsidRDefault="008D163E" w:rsidP="00496A39">
      <w:pPr>
        <w:pStyle w:val="ListParagraph"/>
        <w:numPr>
          <w:ilvl w:val="0"/>
          <w:numId w:val="4"/>
        </w:numPr>
        <w:rPr>
          <w:rFonts w:asciiTheme="minorBidi" w:hAnsiTheme="minorBidi"/>
          <w:sz w:val="22"/>
          <w:szCs w:val="22"/>
        </w:rPr>
      </w:pPr>
      <w:r>
        <w:rPr>
          <w:rFonts w:asciiTheme="minorBidi" w:hAnsiTheme="minorBidi"/>
          <w:sz w:val="22"/>
          <w:szCs w:val="22"/>
        </w:rPr>
        <w:t>Cell Line Authentication Training (Global Biological Standards Institute)</w:t>
      </w:r>
    </w:p>
    <w:p w14:paraId="7C726946" w14:textId="77777777" w:rsidR="00496A39" w:rsidRDefault="00496A39" w:rsidP="005D53D4">
      <w:pPr>
        <w:rPr>
          <w:rFonts w:asciiTheme="minorBidi" w:hAnsiTheme="minorBidi"/>
          <w:sz w:val="22"/>
          <w:szCs w:val="22"/>
        </w:rPr>
      </w:pPr>
    </w:p>
    <w:p w14:paraId="370889AF" w14:textId="614C158E" w:rsidR="00496A39" w:rsidRDefault="00072379" w:rsidP="005D53D4">
      <w:pPr>
        <w:rPr>
          <w:rFonts w:asciiTheme="minorBidi" w:hAnsiTheme="minorBidi"/>
          <w:sz w:val="22"/>
          <w:szCs w:val="22"/>
        </w:rPr>
      </w:pPr>
      <w:r>
        <w:rPr>
          <w:rFonts w:asciiTheme="minorBidi" w:hAnsiTheme="minorBidi"/>
          <w:sz w:val="22"/>
          <w:szCs w:val="22"/>
        </w:rPr>
        <w:t>Past NIH conferences on rigor and reproducibility will also be recommended based on relevance to trainee research plans:</w:t>
      </w:r>
    </w:p>
    <w:p w14:paraId="3EE3E20C" w14:textId="4763AAB2" w:rsidR="00072379" w:rsidRDefault="00072379" w:rsidP="005D53D4">
      <w:pPr>
        <w:rPr>
          <w:rFonts w:asciiTheme="minorBidi" w:hAnsiTheme="minorBidi"/>
          <w:sz w:val="22"/>
          <w:szCs w:val="22"/>
        </w:rPr>
      </w:pPr>
    </w:p>
    <w:p w14:paraId="55983B51" w14:textId="0E926719" w:rsidR="00072379" w:rsidRDefault="00072379" w:rsidP="00072379">
      <w:pPr>
        <w:pStyle w:val="ListParagraph"/>
        <w:numPr>
          <w:ilvl w:val="0"/>
          <w:numId w:val="5"/>
        </w:numPr>
        <w:rPr>
          <w:rFonts w:asciiTheme="minorBidi" w:hAnsiTheme="minorBidi"/>
          <w:sz w:val="22"/>
          <w:szCs w:val="22"/>
        </w:rPr>
      </w:pPr>
      <w:r w:rsidRPr="00072379">
        <w:rPr>
          <w:rFonts w:asciiTheme="minorBidi" w:hAnsiTheme="minorBidi"/>
          <w:sz w:val="22"/>
          <w:szCs w:val="22"/>
        </w:rPr>
        <w:t>Modern Technologies in Cell Biology: Potentials and Pitfalls</w:t>
      </w:r>
    </w:p>
    <w:p w14:paraId="2189D731" w14:textId="02175AA1" w:rsidR="00072379" w:rsidRPr="00072379" w:rsidRDefault="00072379" w:rsidP="00072379">
      <w:pPr>
        <w:pStyle w:val="ListParagraph"/>
        <w:numPr>
          <w:ilvl w:val="0"/>
          <w:numId w:val="5"/>
        </w:numPr>
        <w:rPr>
          <w:rFonts w:asciiTheme="minorBidi" w:hAnsiTheme="minorBidi"/>
          <w:sz w:val="22"/>
          <w:szCs w:val="22"/>
        </w:rPr>
      </w:pPr>
      <w:r w:rsidRPr="00072379">
        <w:rPr>
          <w:rFonts w:asciiTheme="minorBidi" w:hAnsiTheme="minorBidi"/>
          <w:sz w:val="22"/>
          <w:szCs w:val="22"/>
        </w:rPr>
        <w:t xml:space="preserve">Modern Technologies in </w:t>
      </w:r>
      <w:r>
        <w:rPr>
          <w:rFonts w:asciiTheme="minorBidi" w:hAnsiTheme="minorBidi"/>
          <w:sz w:val="22"/>
          <w:szCs w:val="22"/>
        </w:rPr>
        <w:t>Structural</w:t>
      </w:r>
      <w:r w:rsidRPr="00072379">
        <w:rPr>
          <w:rFonts w:asciiTheme="minorBidi" w:hAnsiTheme="minorBidi"/>
          <w:sz w:val="22"/>
          <w:szCs w:val="22"/>
        </w:rPr>
        <w:t xml:space="preserve"> Biology: Potentials and Pitfalls</w:t>
      </w:r>
    </w:p>
    <w:p w14:paraId="4F1182D8" w14:textId="38111A0E" w:rsidR="00072379" w:rsidRDefault="00072379" w:rsidP="00072379">
      <w:pPr>
        <w:pStyle w:val="ListParagraph"/>
        <w:numPr>
          <w:ilvl w:val="0"/>
          <w:numId w:val="5"/>
        </w:numPr>
        <w:rPr>
          <w:rFonts w:asciiTheme="minorBidi" w:hAnsiTheme="minorBidi"/>
          <w:sz w:val="22"/>
          <w:szCs w:val="22"/>
        </w:rPr>
      </w:pPr>
      <w:r w:rsidRPr="00072379">
        <w:rPr>
          <w:rFonts w:asciiTheme="minorBidi" w:hAnsiTheme="minorBidi"/>
          <w:sz w:val="22"/>
          <w:szCs w:val="22"/>
        </w:rPr>
        <w:t xml:space="preserve">Modern Technologies in </w:t>
      </w:r>
      <w:r>
        <w:rPr>
          <w:rFonts w:asciiTheme="minorBidi" w:hAnsiTheme="minorBidi"/>
          <w:sz w:val="22"/>
          <w:szCs w:val="22"/>
        </w:rPr>
        <w:t>Genome</w:t>
      </w:r>
      <w:r w:rsidRPr="00072379">
        <w:rPr>
          <w:rFonts w:asciiTheme="minorBidi" w:hAnsiTheme="minorBidi"/>
          <w:sz w:val="22"/>
          <w:szCs w:val="22"/>
        </w:rPr>
        <w:t xml:space="preserve"> </w:t>
      </w:r>
      <w:r>
        <w:rPr>
          <w:rFonts w:asciiTheme="minorBidi" w:hAnsiTheme="minorBidi"/>
          <w:sz w:val="22"/>
          <w:szCs w:val="22"/>
        </w:rPr>
        <w:t>Technology</w:t>
      </w:r>
      <w:r w:rsidRPr="00072379">
        <w:rPr>
          <w:rFonts w:asciiTheme="minorBidi" w:hAnsiTheme="minorBidi"/>
          <w:sz w:val="22"/>
          <w:szCs w:val="22"/>
        </w:rPr>
        <w:t>: Potentials and Pitfalls</w:t>
      </w:r>
    </w:p>
    <w:p w14:paraId="67C4F20E" w14:textId="5ED0E29C" w:rsidR="00072379" w:rsidRPr="00072379" w:rsidRDefault="00072379" w:rsidP="00072379">
      <w:pPr>
        <w:pStyle w:val="ListParagraph"/>
        <w:numPr>
          <w:ilvl w:val="0"/>
          <w:numId w:val="5"/>
        </w:numPr>
        <w:rPr>
          <w:rFonts w:asciiTheme="minorBidi" w:hAnsiTheme="minorBidi"/>
          <w:sz w:val="22"/>
          <w:szCs w:val="22"/>
        </w:rPr>
      </w:pPr>
      <w:r>
        <w:rPr>
          <w:rFonts w:asciiTheme="minorBidi" w:hAnsiTheme="minorBidi"/>
          <w:sz w:val="22"/>
          <w:szCs w:val="22"/>
        </w:rPr>
        <w:t>NIH Workshop on Reproducibility in Cell Culture Studies</w:t>
      </w:r>
    </w:p>
    <w:p w14:paraId="7924247C" w14:textId="7A98A041" w:rsidR="00496A39" w:rsidRDefault="00496A39" w:rsidP="005D53D4">
      <w:pPr>
        <w:rPr>
          <w:rFonts w:asciiTheme="minorBidi" w:hAnsiTheme="minorBidi"/>
          <w:sz w:val="22"/>
          <w:szCs w:val="22"/>
        </w:rPr>
      </w:pPr>
    </w:p>
    <w:p w14:paraId="4C48DD84" w14:textId="0FB674E2" w:rsidR="00496A39" w:rsidRDefault="00496A39" w:rsidP="005D53D4">
      <w:pPr>
        <w:rPr>
          <w:rFonts w:asciiTheme="minorBidi" w:hAnsiTheme="minorBidi"/>
          <w:sz w:val="22"/>
          <w:szCs w:val="22"/>
        </w:rPr>
      </w:pPr>
      <w:r>
        <w:rPr>
          <w:rFonts w:asciiTheme="minorBidi" w:hAnsiTheme="minorBidi"/>
          <w:sz w:val="22"/>
          <w:szCs w:val="22"/>
        </w:rPr>
        <w:t>Similarly, we will watch and discuss as a group videos from the NIH Office of Research in Women’s Health on Sex and Gender Influences in Health &amp; Disease, including how to take sex into account in preclinical research.</w:t>
      </w:r>
    </w:p>
    <w:p w14:paraId="26F1A7A8" w14:textId="77777777" w:rsidR="00496A39" w:rsidRDefault="00496A39" w:rsidP="005D53D4">
      <w:pPr>
        <w:rPr>
          <w:rFonts w:asciiTheme="minorBidi" w:hAnsiTheme="minorBidi"/>
          <w:sz w:val="22"/>
          <w:szCs w:val="22"/>
        </w:rPr>
      </w:pPr>
    </w:p>
    <w:p w14:paraId="0D561174" w14:textId="1E0D3DC3" w:rsidR="00496A39" w:rsidRDefault="00FE59E6" w:rsidP="00FE59E6">
      <w:pPr>
        <w:pStyle w:val="ListParagraph"/>
        <w:numPr>
          <w:ilvl w:val="0"/>
          <w:numId w:val="6"/>
        </w:numPr>
        <w:rPr>
          <w:rFonts w:asciiTheme="minorBidi" w:hAnsiTheme="minorBidi"/>
          <w:sz w:val="22"/>
          <w:szCs w:val="22"/>
        </w:rPr>
      </w:pPr>
      <w:r w:rsidRPr="00FE59E6">
        <w:rPr>
          <w:rFonts w:asciiTheme="minorBidi" w:hAnsiTheme="minorBidi"/>
          <w:sz w:val="22"/>
          <w:szCs w:val="22"/>
        </w:rPr>
        <w:lastRenderedPageBreak/>
        <w:t>Importance of Sex as a Basic Biological Variable in Preclinical Research</w:t>
      </w:r>
    </w:p>
    <w:p w14:paraId="7D071131" w14:textId="003ABB95" w:rsidR="00FE59E6" w:rsidRDefault="00FE59E6" w:rsidP="00FE59E6">
      <w:pPr>
        <w:pStyle w:val="ListParagraph"/>
        <w:numPr>
          <w:ilvl w:val="0"/>
          <w:numId w:val="6"/>
        </w:numPr>
        <w:rPr>
          <w:rFonts w:asciiTheme="minorBidi" w:hAnsiTheme="minorBidi"/>
          <w:sz w:val="22"/>
          <w:szCs w:val="22"/>
        </w:rPr>
      </w:pPr>
      <w:r w:rsidRPr="00FE59E6">
        <w:rPr>
          <w:rFonts w:asciiTheme="minorBidi" w:hAnsiTheme="minorBidi"/>
          <w:sz w:val="22"/>
          <w:szCs w:val="22"/>
        </w:rPr>
        <w:t>Challenging Assumptions About Sex in Preclinical Research</w:t>
      </w:r>
    </w:p>
    <w:p w14:paraId="683AE3DF" w14:textId="4B76FF0F" w:rsidR="00FE59E6" w:rsidRDefault="00FE59E6" w:rsidP="00FE59E6">
      <w:pPr>
        <w:pStyle w:val="ListParagraph"/>
        <w:numPr>
          <w:ilvl w:val="0"/>
          <w:numId w:val="6"/>
        </w:numPr>
        <w:rPr>
          <w:rFonts w:asciiTheme="minorBidi" w:hAnsiTheme="minorBidi"/>
          <w:sz w:val="22"/>
          <w:szCs w:val="22"/>
        </w:rPr>
      </w:pPr>
      <w:r w:rsidRPr="00FE59E6">
        <w:rPr>
          <w:rFonts w:asciiTheme="minorBidi" w:hAnsiTheme="minorBidi"/>
          <w:sz w:val="22"/>
          <w:szCs w:val="22"/>
        </w:rPr>
        <w:t>Understanding Gender in Researc</w:t>
      </w:r>
      <w:r>
        <w:rPr>
          <w:rFonts w:asciiTheme="minorBidi" w:hAnsiTheme="minorBidi"/>
          <w:sz w:val="22"/>
          <w:szCs w:val="22"/>
        </w:rPr>
        <w:t>h</w:t>
      </w:r>
    </w:p>
    <w:p w14:paraId="2F23BACB" w14:textId="60FE8DB3" w:rsidR="00FE59E6" w:rsidRDefault="00FE59E6" w:rsidP="00FE59E6">
      <w:pPr>
        <w:pStyle w:val="ListParagraph"/>
        <w:numPr>
          <w:ilvl w:val="0"/>
          <w:numId w:val="6"/>
        </w:numPr>
        <w:rPr>
          <w:rFonts w:asciiTheme="minorBidi" w:hAnsiTheme="minorBidi"/>
          <w:sz w:val="22"/>
          <w:szCs w:val="22"/>
        </w:rPr>
      </w:pPr>
      <w:r>
        <w:rPr>
          <w:rFonts w:asciiTheme="minorBidi" w:hAnsiTheme="minorBidi"/>
          <w:sz w:val="22"/>
          <w:szCs w:val="22"/>
        </w:rPr>
        <w:t>P</w:t>
      </w:r>
      <w:r w:rsidRPr="00FE59E6">
        <w:rPr>
          <w:rFonts w:asciiTheme="minorBidi" w:hAnsiTheme="minorBidi"/>
          <w:sz w:val="22"/>
          <w:szCs w:val="22"/>
        </w:rPr>
        <w:t>ractical methods to integrate the biological variable sex into research projects and cultivating a culture of "Sex Matters" across multiple disciplines</w:t>
      </w:r>
    </w:p>
    <w:p w14:paraId="208EF3A8" w14:textId="18A51275" w:rsidR="00FE59E6" w:rsidRDefault="00FE59E6" w:rsidP="00FE59E6">
      <w:pPr>
        <w:pStyle w:val="ListParagraph"/>
        <w:numPr>
          <w:ilvl w:val="0"/>
          <w:numId w:val="6"/>
        </w:numPr>
        <w:rPr>
          <w:rFonts w:asciiTheme="minorBidi" w:hAnsiTheme="minorBidi"/>
          <w:sz w:val="22"/>
          <w:szCs w:val="22"/>
        </w:rPr>
      </w:pPr>
      <w:r>
        <w:rPr>
          <w:rFonts w:asciiTheme="minorBidi" w:hAnsiTheme="minorBidi"/>
          <w:sz w:val="22"/>
          <w:szCs w:val="22"/>
        </w:rPr>
        <w:t>I</w:t>
      </w:r>
      <w:r w:rsidRPr="00FE59E6">
        <w:rPr>
          <w:rFonts w:asciiTheme="minorBidi" w:hAnsiTheme="minorBidi"/>
          <w:sz w:val="22"/>
          <w:szCs w:val="22"/>
        </w:rPr>
        <w:t>mportance of reproducibility in biomedical research, the concept of including male and female subjects in studies, and the impact of including or not including sex as a basic biological variable</w:t>
      </w:r>
    </w:p>
    <w:p w14:paraId="4D4FAD86" w14:textId="77777777" w:rsidR="002B3D1F" w:rsidRDefault="002B3D1F" w:rsidP="005D53D4">
      <w:pPr>
        <w:rPr>
          <w:rFonts w:asciiTheme="minorBidi" w:hAnsiTheme="minorBidi"/>
          <w:sz w:val="22"/>
          <w:szCs w:val="22"/>
        </w:rPr>
      </w:pPr>
    </w:p>
    <w:p w14:paraId="4CD80470" w14:textId="56257771" w:rsidR="005D53D4" w:rsidRDefault="005D53D4" w:rsidP="005D53D4">
      <w:pPr>
        <w:rPr>
          <w:rFonts w:asciiTheme="minorBidi" w:hAnsiTheme="minorBidi"/>
          <w:sz w:val="22"/>
          <w:szCs w:val="22"/>
        </w:rPr>
      </w:pPr>
      <w:r>
        <w:rPr>
          <w:rFonts w:asciiTheme="minorBidi" w:hAnsiTheme="minorBidi"/>
          <w:sz w:val="22"/>
          <w:szCs w:val="22"/>
        </w:rPr>
        <w:t>Trainees conducting clinical research of any kind will undergo a RISE Review (</w:t>
      </w:r>
      <w:r w:rsidRPr="005D53D4">
        <w:rPr>
          <w:rFonts w:asciiTheme="minorBidi" w:hAnsiTheme="minorBidi"/>
          <w:sz w:val="22"/>
          <w:szCs w:val="22"/>
        </w:rPr>
        <w:t>Research Investigator Start-Up Education</w:t>
      </w:r>
      <w:r>
        <w:rPr>
          <w:rFonts w:asciiTheme="minorBidi" w:hAnsiTheme="minorBidi"/>
          <w:sz w:val="22"/>
          <w:szCs w:val="22"/>
        </w:rPr>
        <w:t xml:space="preserve">) by the Pitt </w:t>
      </w:r>
      <w:r w:rsidR="000F4C96" w:rsidRPr="000F4C96">
        <w:rPr>
          <w:rFonts w:asciiTheme="minorBidi" w:hAnsiTheme="minorBidi"/>
          <w:sz w:val="22"/>
          <w:szCs w:val="22"/>
        </w:rPr>
        <w:t xml:space="preserve">Education &amp; Compliance Office for Human Subjects Research </w:t>
      </w:r>
      <w:r>
        <w:rPr>
          <w:rFonts w:asciiTheme="minorBidi" w:hAnsiTheme="minorBidi"/>
          <w:sz w:val="22"/>
          <w:szCs w:val="22"/>
        </w:rPr>
        <w:t>(ECOHSR)</w:t>
      </w:r>
      <w:r w:rsidR="000F4C96" w:rsidRPr="000F4C96">
        <w:rPr>
          <w:rFonts w:asciiTheme="minorBidi" w:hAnsiTheme="minorBidi"/>
          <w:sz w:val="22"/>
          <w:szCs w:val="22"/>
        </w:rPr>
        <w:t xml:space="preserve">. </w:t>
      </w:r>
      <w:r w:rsidRPr="005D53D4">
        <w:rPr>
          <w:rFonts w:asciiTheme="minorBidi" w:hAnsiTheme="minorBidi"/>
          <w:sz w:val="22"/>
          <w:szCs w:val="22"/>
        </w:rPr>
        <w:t>The goal of the RISE program is to protect human subjects and foster compliance by providing protocol-specific regulatory guidance and study documentation tools at the time of study initiation or shortly thereafter.</w:t>
      </w:r>
      <w:r>
        <w:rPr>
          <w:rFonts w:asciiTheme="minorBidi" w:hAnsiTheme="minorBidi"/>
          <w:sz w:val="22"/>
          <w:szCs w:val="22"/>
        </w:rPr>
        <w:t xml:space="preserve"> </w:t>
      </w:r>
      <w:r w:rsidRPr="005D53D4">
        <w:rPr>
          <w:rFonts w:asciiTheme="minorBidi" w:hAnsiTheme="minorBidi"/>
          <w:sz w:val="22"/>
          <w:szCs w:val="22"/>
        </w:rPr>
        <w:t>The RISE review includes an interview lasting approximately 45 minutes followed by a review of the regulatory records. The interview covers all elements of the conduct of the study</w:t>
      </w:r>
      <w:r>
        <w:rPr>
          <w:rFonts w:asciiTheme="minorBidi" w:hAnsiTheme="minorBidi"/>
          <w:sz w:val="22"/>
          <w:szCs w:val="22"/>
        </w:rPr>
        <w:t>,</w:t>
      </w:r>
      <w:r w:rsidRPr="005D53D4">
        <w:rPr>
          <w:rFonts w:asciiTheme="minorBidi" w:hAnsiTheme="minorBidi"/>
          <w:sz w:val="22"/>
          <w:szCs w:val="22"/>
        </w:rPr>
        <w:t xml:space="preserve"> including the logistics of implementing individual study procedures. If subjects are enrolled at the time of the review, several of the research records are assessed for compliance with the applicable regulations and institutional policies. Record review may include evaluation of:</w:t>
      </w:r>
    </w:p>
    <w:p w14:paraId="74C4BF34" w14:textId="77777777" w:rsidR="005D53D4" w:rsidRPr="005D53D4" w:rsidRDefault="005D53D4" w:rsidP="005D53D4">
      <w:pPr>
        <w:rPr>
          <w:rFonts w:asciiTheme="minorBidi" w:hAnsiTheme="minorBidi"/>
          <w:sz w:val="22"/>
          <w:szCs w:val="22"/>
        </w:rPr>
      </w:pPr>
    </w:p>
    <w:p w14:paraId="162F20B8" w14:textId="77777777" w:rsidR="005D53D4" w:rsidRPr="005D53D4" w:rsidRDefault="005D53D4" w:rsidP="005D53D4">
      <w:pPr>
        <w:numPr>
          <w:ilvl w:val="0"/>
          <w:numId w:val="1"/>
        </w:numPr>
        <w:rPr>
          <w:rFonts w:asciiTheme="minorBidi" w:hAnsiTheme="minorBidi"/>
          <w:sz w:val="22"/>
          <w:szCs w:val="22"/>
        </w:rPr>
      </w:pPr>
      <w:r w:rsidRPr="005D53D4">
        <w:rPr>
          <w:rFonts w:asciiTheme="minorBidi" w:hAnsiTheme="minorBidi"/>
          <w:sz w:val="22"/>
          <w:szCs w:val="22"/>
        </w:rPr>
        <w:t>Informed consent documents/narrative note of informed consent</w:t>
      </w:r>
    </w:p>
    <w:p w14:paraId="2906F921" w14:textId="77777777" w:rsidR="005D53D4" w:rsidRPr="005D53D4" w:rsidRDefault="005D53D4" w:rsidP="005D53D4">
      <w:pPr>
        <w:numPr>
          <w:ilvl w:val="0"/>
          <w:numId w:val="1"/>
        </w:numPr>
        <w:rPr>
          <w:rFonts w:asciiTheme="minorBidi" w:hAnsiTheme="minorBidi"/>
          <w:sz w:val="22"/>
          <w:szCs w:val="22"/>
        </w:rPr>
      </w:pPr>
      <w:r w:rsidRPr="005D53D4">
        <w:rPr>
          <w:rFonts w:asciiTheme="minorBidi" w:hAnsiTheme="minorBidi"/>
          <w:sz w:val="22"/>
          <w:szCs w:val="22"/>
        </w:rPr>
        <w:t>Eligibility documentation/screening/enrollment logs</w:t>
      </w:r>
    </w:p>
    <w:p w14:paraId="0B902901" w14:textId="77777777" w:rsidR="005D53D4" w:rsidRPr="005D53D4" w:rsidRDefault="005D53D4" w:rsidP="005D53D4">
      <w:pPr>
        <w:numPr>
          <w:ilvl w:val="0"/>
          <w:numId w:val="1"/>
        </w:numPr>
        <w:rPr>
          <w:rFonts w:asciiTheme="minorBidi" w:hAnsiTheme="minorBidi"/>
          <w:sz w:val="22"/>
          <w:szCs w:val="22"/>
        </w:rPr>
      </w:pPr>
      <w:r w:rsidRPr="005D53D4">
        <w:rPr>
          <w:rFonts w:asciiTheme="minorBidi" w:hAnsiTheme="minorBidi"/>
          <w:sz w:val="22"/>
          <w:szCs w:val="22"/>
        </w:rPr>
        <w:t>Protocol adherence</w:t>
      </w:r>
    </w:p>
    <w:p w14:paraId="3481BFD0" w14:textId="77777777" w:rsidR="005D53D4" w:rsidRPr="005D53D4" w:rsidRDefault="005D53D4" w:rsidP="005D53D4">
      <w:pPr>
        <w:numPr>
          <w:ilvl w:val="0"/>
          <w:numId w:val="1"/>
        </w:numPr>
        <w:rPr>
          <w:rFonts w:asciiTheme="minorBidi" w:hAnsiTheme="minorBidi"/>
          <w:sz w:val="22"/>
          <w:szCs w:val="22"/>
        </w:rPr>
      </w:pPr>
      <w:r w:rsidRPr="005D53D4">
        <w:rPr>
          <w:rFonts w:asciiTheme="minorBidi" w:hAnsiTheme="minorBidi"/>
          <w:sz w:val="22"/>
          <w:szCs w:val="22"/>
        </w:rPr>
        <w:t>Source documentation</w:t>
      </w:r>
    </w:p>
    <w:p w14:paraId="70A86E18" w14:textId="77777777" w:rsidR="005D53D4" w:rsidRPr="005D53D4" w:rsidRDefault="005D53D4" w:rsidP="005D53D4">
      <w:pPr>
        <w:numPr>
          <w:ilvl w:val="0"/>
          <w:numId w:val="1"/>
        </w:numPr>
        <w:rPr>
          <w:rFonts w:asciiTheme="minorBidi" w:hAnsiTheme="minorBidi"/>
          <w:sz w:val="22"/>
          <w:szCs w:val="22"/>
        </w:rPr>
      </w:pPr>
      <w:r w:rsidRPr="005D53D4">
        <w:rPr>
          <w:rFonts w:asciiTheme="minorBidi" w:hAnsiTheme="minorBidi"/>
          <w:sz w:val="22"/>
          <w:szCs w:val="22"/>
        </w:rPr>
        <w:t>Drug and device accountability (if applicable)</w:t>
      </w:r>
    </w:p>
    <w:p w14:paraId="08947F44" w14:textId="77777777" w:rsidR="005D53D4" w:rsidRPr="005D53D4" w:rsidRDefault="005D53D4" w:rsidP="005D53D4">
      <w:pPr>
        <w:numPr>
          <w:ilvl w:val="0"/>
          <w:numId w:val="1"/>
        </w:numPr>
        <w:rPr>
          <w:rFonts w:asciiTheme="minorBidi" w:hAnsiTheme="minorBidi"/>
          <w:sz w:val="22"/>
          <w:szCs w:val="22"/>
        </w:rPr>
      </w:pPr>
      <w:r w:rsidRPr="005D53D4">
        <w:rPr>
          <w:rFonts w:asciiTheme="minorBidi" w:hAnsiTheme="minorBidi"/>
          <w:sz w:val="22"/>
          <w:szCs w:val="22"/>
        </w:rPr>
        <w:t>Regulatory file/binder</w:t>
      </w:r>
    </w:p>
    <w:p w14:paraId="43E30096" w14:textId="77777777" w:rsidR="005D53D4" w:rsidRPr="005D53D4" w:rsidRDefault="005D53D4" w:rsidP="005D53D4">
      <w:pPr>
        <w:numPr>
          <w:ilvl w:val="0"/>
          <w:numId w:val="1"/>
        </w:numPr>
        <w:rPr>
          <w:rFonts w:asciiTheme="minorBidi" w:hAnsiTheme="minorBidi"/>
          <w:sz w:val="22"/>
          <w:szCs w:val="22"/>
        </w:rPr>
      </w:pPr>
      <w:r w:rsidRPr="005D53D4">
        <w:rPr>
          <w:rFonts w:asciiTheme="minorBidi" w:hAnsiTheme="minorBidi"/>
          <w:sz w:val="22"/>
          <w:szCs w:val="22"/>
        </w:rPr>
        <w:t>Unanticipated problem/Adverse event reports</w:t>
      </w:r>
    </w:p>
    <w:p w14:paraId="769A4CC3" w14:textId="77777777" w:rsidR="005D53D4" w:rsidRPr="005D53D4" w:rsidRDefault="005D53D4" w:rsidP="005D53D4">
      <w:pPr>
        <w:rPr>
          <w:rFonts w:asciiTheme="minorBidi" w:hAnsiTheme="minorBidi"/>
          <w:sz w:val="22"/>
          <w:szCs w:val="22"/>
        </w:rPr>
      </w:pPr>
    </w:p>
    <w:p w14:paraId="503674E4" w14:textId="2E25B67C" w:rsidR="006B155F" w:rsidRDefault="006B155F" w:rsidP="006B155F">
      <w:pPr>
        <w:rPr>
          <w:rFonts w:asciiTheme="minorBidi" w:hAnsiTheme="minorBidi"/>
          <w:sz w:val="22"/>
          <w:szCs w:val="22"/>
        </w:rPr>
      </w:pPr>
      <w:r>
        <w:rPr>
          <w:rFonts w:asciiTheme="minorBidi" w:hAnsiTheme="minorBidi"/>
          <w:sz w:val="22"/>
          <w:szCs w:val="22"/>
        </w:rPr>
        <w:t xml:space="preserve">Trainees engaged in clinical research will also complete the 90-minute, in-person Good Research Practice program also offered by the Pitt ECOHSR. </w:t>
      </w:r>
      <w:r w:rsidRPr="006B155F">
        <w:rPr>
          <w:rFonts w:asciiTheme="minorBidi" w:hAnsiTheme="minorBidi"/>
          <w:sz w:val="22"/>
          <w:szCs w:val="22"/>
        </w:rPr>
        <w:t>The program covers the highlights of Good Research Practice and includes a brief review of:</w:t>
      </w:r>
    </w:p>
    <w:p w14:paraId="77D68F95" w14:textId="77777777" w:rsidR="006B155F" w:rsidRPr="006B155F" w:rsidRDefault="006B155F" w:rsidP="006B155F">
      <w:pPr>
        <w:rPr>
          <w:rFonts w:asciiTheme="minorBidi" w:hAnsiTheme="minorBidi"/>
          <w:sz w:val="22"/>
          <w:szCs w:val="22"/>
        </w:rPr>
      </w:pPr>
    </w:p>
    <w:p w14:paraId="542F3567" w14:textId="77777777" w:rsidR="006B155F" w:rsidRPr="006B155F" w:rsidRDefault="006B155F" w:rsidP="006B155F">
      <w:pPr>
        <w:numPr>
          <w:ilvl w:val="0"/>
          <w:numId w:val="2"/>
        </w:numPr>
        <w:rPr>
          <w:rFonts w:asciiTheme="minorBidi" w:hAnsiTheme="minorBidi"/>
          <w:sz w:val="22"/>
          <w:szCs w:val="22"/>
        </w:rPr>
      </w:pPr>
      <w:r w:rsidRPr="006B155F">
        <w:rPr>
          <w:rFonts w:asciiTheme="minorBidi" w:hAnsiTheme="minorBidi"/>
          <w:sz w:val="22"/>
          <w:szCs w:val="22"/>
        </w:rPr>
        <w:t>Protocol Implementation from Preparation to Closure</w:t>
      </w:r>
    </w:p>
    <w:p w14:paraId="3220A3CF" w14:textId="77777777" w:rsidR="006B155F" w:rsidRPr="006B155F" w:rsidRDefault="006B155F" w:rsidP="006B155F">
      <w:pPr>
        <w:numPr>
          <w:ilvl w:val="0"/>
          <w:numId w:val="2"/>
        </w:numPr>
        <w:rPr>
          <w:rFonts w:asciiTheme="minorBidi" w:hAnsiTheme="minorBidi"/>
          <w:sz w:val="22"/>
          <w:szCs w:val="22"/>
        </w:rPr>
      </w:pPr>
      <w:r w:rsidRPr="006B155F">
        <w:rPr>
          <w:rFonts w:asciiTheme="minorBidi" w:hAnsiTheme="minorBidi"/>
          <w:sz w:val="22"/>
          <w:szCs w:val="22"/>
        </w:rPr>
        <w:t>Protocol Adherence and Oversight</w:t>
      </w:r>
    </w:p>
    <w:p w14:paraId="29390B8D" w14:textId="77777777" w:rsidR="006B155F" w:rsidRPr="006B155F" w:rsidRDefault="006B155F" w:rsidP="006B155F">
      <w:pPr>
        <w:numPr>
          <w:ilvl w:val="0"/>
          <w:numId w:val="2"/>
        </w:numPr>
        <w:rPr>
          <w:rFonts w:asciiTheme="minorBidi" w:hAnsiTheme="minorBidi"/>
          <w:sz w:val="22"/>
          <w:szCs w:val="22"/>
        </w:rPr>
      </w:pPr>
      <w:r w:rsidRPr="006B155F">
        <w:rPr>
          <w:rFonts w:asciiTheme="minorBidi" w:hAnsiTheme="minorBidi"/>
          <w:sz w:val="22"/>
          <w:szCs w:val="22"/>
        </w:rPr>
        <w:t>Informed Consent</w:t>
      </w:r>
    </w:p>
    <w:p w14:paraId="0C7CE16A" w14:textId="77777777" w:rsidR="006B155F" w:rsidRPr="006B155F" w:rsidRDefault="006B155F" w:rsidP="006B155F">
      <w:pPr>
        <w:numPr>
          <w:ilvl w:val="0"/>
          <w:numId w:val="2"/>
        </w:numPr>
        <w:rPr>
          <w:rFonts w:asciiTheme="minorBidi" w:hAnsiTheme="minorBidi"/>
          <w:sz w:val="22"/>
          <w:szCs w:val="22"/>
        </w:rPr>
      </w:pPr>
      <w:r w:rsidRPr="006B155F">
        <w:rPr>
          <w:rFonts w:asciiTheme="minorBidi" w:hAnsiTheme="minorBidi"/>
          <w:sz w:val="22"/>
          <w:szCs w:val="22"/>
        </w:rPr>
        <w:t>Study Documentation</w:t>
      </w:r>
    </w:p>
    <w:p w14:paraId="2DE05409" w14:textId="77777777" w:rsidR="006B155F" w:rsidRPr="006B155F" w:rsidRDefault="006B155F" w:rsidP="006B155F">
      <w:pPr>
        <w:numPr>
          <w:ilvl w:val="0"/>
          <w:numId w:val="2"/>
        </w:numPr>
        <w:rPr>
          <w:rFonts w:asciiTheme="minorBidi" w:hAnsiTheme="minorBidi"/>
          <w:sz w:val="22"/>
          <w:szCs w:val="22"/>
        </w:rPr>
      </w:pPr>
      <w:r w:rsidRPr="006B155F">
        <w:rPr>
          <w:rFonts w:asciiTheme="minorBidi" w:hAnsiTheme="minorBidi"/>
          <w:sz w:val="22"/>
          <w:szCs w:val="22"/>
        </w:rPr>
        <w:t>Drug/Device Accountability</w:t>
      </w:r>
    </w:p>
    <w:p w14:paraId="12049D69" w14:textId="77777777" w:rsidR="006B155F" w:rsidRPr="006B155F" w:rsidRDefault="006B155F" w:rsidP="006B155F">
      <w:pPr>
        <w:numPr>
          <w:ilvl w:val="0"/>
          <w:numId w:val="2"/>
        </w:numPr>
        <w:rPr>
          <w:rFonts w:asciiTheme="minorBidi" w:hAnsiTheme="minorBidi"/>
          <w:sz w:val="22"/>
          <w:szCs w:val="22"/>
        </w:rPr>
      </w:pPr>
      <w:r w:rsidRPr="006B155F">
        <w:rPr>
          <w:rFonts w:asciiTheme="minorBidi" w:hAnsiTheme="minorBidi"/>
          <w:sz w:val="22"/>
          <w:szCs w:val="22"/>
        </w:rPr>
        <w:t>PI Responsibilities</w:t>
      </w:r>
    </w:p>
    <w:p w14:paraId="3358F4B7" w14:textId="77777777" w:rsidR="00FE59E6" w:rsidRDefault="00FE59E6" w:rsidP="00FE59E6">
      <w:pPr>
        <w:rPr>
          <w:rFonts w:asciiTheme="minorBidi" w:hAnsiTheme="minorBidi"/>
          <w:sz w:val="22"/>
          <w:szCs w:val="22"/>
        </w:rPr>
      </w:pPr>
    </w:p>
    <w:p w14:paraId="76B0D70F" w14:textId="0BBDA304" w:rsidR="00FE59E6" w:rsidRDefault="00FE59E6" w:rsidP="00FE59E6">
      <w:pPr>
        <w:rPr>
          <w:rFonts w:asciiTheme="minorBidi" w:hAnsiTheme="minorBidi"/>
          <w:sz w:val="22"/>
          <w:szCs w:val="22"/>
        </w:rPr>
      </w:pPr>
      <w:r>
        <w:rPr>
          <w:rFonts w:asciiTheme="minorBidi" w:hAnsiTheme="minorBidi"/>
          <w:sz w:val="22"/>
          <w:szCs w:val="22"/>
        </w:rPr>
        <w:t xml:space="preserve">These topics will all be discussed in lab group and in mentor-mentee meetings to reinforce their implementation in practice in the course of individual trainee projects. </w:t>
      </w:r>
    </w:p>
    <w:p w14:paraId="5DB4CCCA" w14:textId="5377F772" w:rsidR="00496A39" w:rsidRDefault="00496A39" w:rsidP="000F4C96">
      <w:pPr>
        <w:rPr>
          <w:rFonts w:asciiTheme="minorBidi" w:hAnsiTheme="minorBidi"/>
          <w:sz w:val="22"/>
          <w:szCs w:val="22"/>
        </w:rPr>
      </w:pPr>
    </w:p>
    <w:p w14:paraId="3C5CA84E" w14:textId="22508D1A" w:rsidR="00072379" w:rsidRDefault="00072379" w:rsidP="000F4C96">
      <w:pPr>
        <w:rPr>
          <w:rFonts w:asciiTheme="minorBidi" w:hAnsiTheme="minorBidi"/>
          <w:sz w:val="22"/>
          <w:szCs w:val="22"/>
        </w:rPr>
      </w:pPr>
    </w:p>
    <w:p w14:paraId="0741DB5E" w14:textId="77777777" w:rsidR="00E0200C" w:rsidRDefault="00E0200C" w:rsidP="000F4C96">
      <w:pPr>
        <w:rPr>
          <w:rFonts w:asciiTheme="minorBidi" w:hAnsiTheme="minorBidi"/>
          <w:sz w:val="22"/>
          <w:szCs w:val="22"/>
        </w:rPr>
      </w:pPr>
    </w:p>
    <w:p w14:paraId="3CA075C1" w14:textId="3C2D0156" w:rsidR="00072379" w:rsidRPr="005103AA" w:rsidRDefault="00E3246C" w:rsidP="000F4C96">
      <w:pPr>
        <w:rPr>
          <w:rFonts w:asciiTheme="minorBidi" w:hAnsiTheme="minorBidi"/>
          <w:i/>
          <w:iCs/>
          <w:sz w:val="22"/>
          <w:szCs w:val="22"/>
        </w:rPr>
      </w:pPr>
      <w:r w:rsidRPr="005103AA">
        <w:rPr>
          <w:rFonts w:asciiTheme="minorBidi" w:hAnsiTheme="minorBidi"/>
          <w:i/>
          <w:iCs/>
          <w:sz w:val="22"/>
          <w:szCs w:val="22"/>
        </w:rPr>
        <w:t>Relevant resources (for PI, not for inclusion in grant application):</w:t>
      </w:r>
    </w:p>
    <w:p w14:paraId="7DBA5AEE" w14:textId="4DBBF17B" w:rsidR="00496A39" w:rsidRDefault="00496A39" w:rsidP="000F4C96">
      <w:pPr>
        <w:rPr>
          <w:rFonts w:asciiTheme="minorBidi" w:hAnsiTheme="minorBidi"/>
          <w:sz w:val="22"/>
          <w:szCs w:val="22"/>
        </w:rPr>
      </w:pPr>
    </w:p>
    <w:p w14:paraId="3E2BD3A6" w14:textId="0BA5F105" w:rsidR="00496A39" w:rsidRDefault="00550695" w:rsidP="000F4C96">
      <w:pPr>
        <w:rPr>
          <w:rFonts w:asciiTheme="minorBidi" w:hAnsiTheme="minorBidi"/>
          <w:sz w:val="22"/>
          <w:szCs w:val="22"/>
        </w:rPr>
      </w:pPr>
      <w:r>
        <w:rPr>
          <w:rFonts w:asciiTheme="minorBidi" w:hAnsiTheme="minorBidi"/>
          <w:sz w:val="22"/>
          <w:szCs w:val="22"/>
        </w:rPr>
        <w:t xml:space="preserve">CTSI RCR Workshops: </w:t>
      </w:r>
      <w:hyperlink r:id="rId5" w:history="1">
        <w:r w:rsidR="001523A8" w:rsidRPr="00602339">
          <w:rPr>
            <w:rStyle w:val="Hyperlink"/>
            <w:rFonts w:asciiTheme="minorBidi" w:hAnsiTheme="minorBidi"/>
            <w:sz w:val="22"/>
            <w:szCs w:val="22"/>
          </w:rPr>
          <w:t>https://ctsi.pitt.edu/education-training/responsible-conduct-of-research-training/</w:t>
        </w:r>
      </w:hyperlink>
    </w:p>
    <w:p w14:paraId="0D55916B" w14:textId="694D1140" w:rsidR="001523A8" w:rsidRDefault="001523A8" w:rsidP="000F4C96">
      <w:pPr>
        <w:rPr>
          <w:rFonts w:asciiTheme="minorBidi" w:hAnsiTheme="minorBidi"/>
          <w:sz w:val="22"/>
          <w:szCs w:val="22"/>
        </w:rPr>
      </w:pPr>
      <w:r>
        <w:rPr>
          <w:rFonts w:asciiTheme="minorBidi" w:hAnsiTheme="minorBidi"/>
          <w:sz w:val="22"/>
          <w:szCs w:val="22"/>
        </w:rPr>
        <w:t xml:space="preserve">Pitt ECOHSR (Good Research Practice, RISE Review): </w:t>
      </w:r>
      <w:hyperlink r:id="rId6" w:history="1">
        <w:r w:rsidRPr="00602339">
          <w:rPr>
            <w:rStyle w:val="Hyperlink"/>
            <w:rFonts w:asciiTheme="minorBidi" w:hAnsiTheme="minorBidi"/>
            <w:sz w:val="22"/>
            <w:szCs w:val="22"/>
          </w:rPr>
          <w:t>http://www.ecohsr.pitt.edu/activities-services/</w:t>
        </w:r>
      </w:hyperlink>
      <w:r>
        <w:rPr>
          <w:rFonts w:asciiTheme="minorBidi" w:hAnsiTheme="minorBidi"/>
          <w:sz w:val="22"/>
          <w:szCs w:val="22"/>
        </w:rPr>
        <w:t xml:space="preserve"> </w:t>
      </w:r>
    </w:p>
    <w:p w14:paraId="0282780B" w14:textId="77777777" w:rsidR="00550695" w:rsidRDefault="00550695" w:rsidP="000F4C96">
      <w:pPr>
        <w:rPr>
          <w:rFonts w:asciiTheme="minorBidi" w:hAnsiTheme="minorBidi"/>
          <w:sz w:val="22"/>
          <w:szCs w:val="22"/>
        </w:rPr>
      </w:pPr>
    </w:p>
    <w:p w14:paraId="2AFCC9D2" w14:textId="0523959E" w:rsidR="00496A39" w:rsidRDefault="00496A39" w:rsidP="000F4C96">
      <w:pPr>
        <w:rPr>
          <w:rFonts w:asciiTheme="minorBidi" w:hAnsiTheme="minorBidi"/>
          <w:sz w:val="22"/>
          <w:szCs w:val="22"/>
          <w:lang w:val="pl-PL"/>
        </w:rPr>
      </w:pPr>
      <w:r w:rsidRPr="00496A39">
        <w:rPr>
          <w:rFonts w:asciiTheme="minorBidi" w:hAnsiTheme="minorBidi"/>
          <w:sz w:val="22"/>
          <w:szCs w:val="22"/>
          <w:lang w:val="pl-PL"/>
        </w:rPr>
        <w:t xml:space="preserve">NIH: </w:t>
      </w:r>
      <w:hyperlink r:id="rId7" w:history="1">
        <w:r w:rsidRPr="00602339">
          <w:rPr>
            <w:rStyle w:val="Hyperlink"/>
            <w:rFonts w:asciiTheme="minorBidi" w:hAnsiTheme="minorBidi"/>
            <w:sz w:val="22"/>
            <w:szCs w:val="22"/>
            <w:lang w:val="pl-PL"/>
          </w:rPr>
          <w:t>https://grants.nih.gov/policy/reproducibility/training.htm</w:t>
        </w:r>
      </w:hyperlink>
      <w:r>
        <w:rPr>
          <w:rFonts w:asciiTheme="minorBidi" w:hAnsiTheme="minorBidi"/>
          <w:sz w:val="22"/>
          <w:szCs w:val="22"/>
          <w:lang w:val="pl-PL"/>
        </w:rPr>
        <w:t xml:space="preserve"> </w:t>
      </w:r>
    </w:p>
    <w:p w14:paraId="412F749D" w14:textId="72A9DF8C" w:rsidR="00FE59E6" w:rsidRPr="00496A39" w:rsidRDefault="00FE59E6" w:rsidP="000F4C96">
      <w:pPr>
        <w:rPr>
          <w:rFonts w:asciiTheme="minorBidi" w:hAnsiTheme="minorBidi"/>
          <w:sz w:val="22"/>
          <w:szCs w:val="22"/>
          <w:lang w:val="pl-PL"/>
        </w:rPr>
      </w:pPr>
      <w:r>
        <w:rPr>
          <w:rFonts w:asciiTheme="minorBidi" w:hAnsiTheme="minorBidi"/>
          <w:sz w:val="22"/>
          <w:szCs w:val="22"/>
          <w:lang w:val="pl-PL"/>
        </w:rPr>
        <w:t xml:space="preserve">NIH: </w:t>
      </w:r>
      <w:hyperlink r:id="rId8" w:history="1">
        <w:r w:rsidRPr="00602339">
          <w:rPr>
            <w:rStyle w:val="Hyperlink"/>
            <w:rFonts w:asciiTheme="minorBidi" w:hAnsiTheme="minorBidi"/>
            <w:sz w:val="22"/>
            <w:szCs w:val="22"/>
            <w:lang w:val="pl-PL"/>
          </w:rPr>
          <w:t>https://www.nih.gov/research-training/rigor-reproducibility/training</w:t>
        </w:r>
      </w:hyperlink>
      <w:r>
        <w:rPr>
          <w:rFonts w:asciiTheme="minorBidi" w:hAnsiTheme="minorBidi"/>
          <w:sz w:val="22"/>
          <w:szCs w:val="22"/>
          <w:lang w:val="pl-PL"/>
        </w:rPr>
        <w:t xml:space="preserve"> </w:t>
      </w:r>
    </w:p>
    <w:p w14:paraId="25E1425F" w14:textId="496EA382" w:rsidR="00496A39" w:rsidRPr="00496A39" w:rsidRDefault="00496A39" w:rsidP="000F4C96">
      <w:pPr>
        <w:rPr>
          <w:rFonts w:asciiTheme="minorBidi" w:hAnsiTheme="minorBidi"/>
          <w:sz w:val="22"/>
          <w:szCs w:val="22"/>
        </w:rPr>
      </w:pPr>
      <w:r w:rsidRPr="00496A39">
        <w:rPr>
          <w:rFonts w:asciiTheme="minorBidi" w:hAnsiTheme="minorBidi"/>
          <w:sz w:val="22"/>
          <w:szCs w:val="22"/>
        </w:rPr>
        <w:t xml:space="preserve">NIGMS: </w:t>
      </w:r>
      <w:hyperlink r:id="rId9" w:history="1">
        <w:r w:rsidRPr="00602339">
          <w:rPr>
            <w:rStyle w:val="Hyperlink"/>
            <w:rFonts w:asciiTheme="minorBidi" w:hAnsiTheme="minorBidi"/>
            <w:sz w:val="22"/>
            <w:szCs w:val="22"/>
          </w:rPr>
          <w:t>https://www.nigms.nih.gov/training/pages/clearinghouse-for-training-modules-to-enhance-data-reproducibility.aspx</w:t>
        </w:r>
      </w:hyperlink>
      <w:r>
        <w:rPr>
          <w:rFonts w:asciiTheme="minorBidi" w:hAnsiTheme="minorBidi"/>
          <w:sz w:val="22"/>
          <w:szCs w:val="22"/>
        </w:rPr>
        <w:t xml:space="preserve"> </w:t>
      </w:r>
    </w:p>
    <w:p w14:paraId="26959595" w14:textId="33A8585D" w:rsidR="00496A39" w:rsidRDefault="00496A39" w:rsidP="000F4C96">
      <w:pPr>
        <w:rPr>
          <w:rFonts w:asciiTheme="minorBidi" w:hAnsiTheme="minorBidi"/>
          <w:sz w:val="22"/>
          <w:szCs w:val="22"/>
        </w:rPr>
      </w:pPr>
      <w:r>
        <w:rPr>
          <w:rFonts w:asciiTheme="minorBidi" w:hAnsiTheme="minorBidi"/>
          <w:sz w:val="22"/>
          <w:szCs w:val="22"/>
        </w:rPr>
        <w:t xml:space="preserve">ORWH: </w:t>
      </w:r>
      <w:hyperlink r:id="rId10" w:history="1">
        <w:r w:rsidRPr="00602339">
          <w:rPr>
            <w:rStyle w:val="Hyperlink"/>
            <w:rFonts w:asciiTheme="minorBidi" w:hAnsiTheme="minorBidi"/>
            <w:sz w:val="22"/>
            <w:szCs w:val="22"/>
          </w:rPr>
          <w:t>https://orwh.od.nih.gov/sex-gender/methods-techniques-integrating-sex-research</w:t>
        </w:r>
      </w:hyperlink>
      <w:r>
        <w:rPr>
          <w:rFonts w:asciiTheme="minorBidi" w:hAnsiTheme="minorBidi"/>
          <w:sz w:val="22"/>
          <w:szCs w:val="22"/>
        </w:rPr>
        <w:t xml:space="preserve"> </w:t>
      </w:r>
    </w:p>
    <w:p w14:paraId="5C52C3DF" w14:textId="22175B7C" w:rsidR="00550695" w:rsidRPr="00134373" w:rsidRDefault="00550695" w:rsidP="000F4C96">
      <w:pPr>
        <w:rPr>
          <w:rFonts w:asciiTheme="minorBidi" w:hAnsiTheme="minorBidi"/>
          <w:sz w:val="22"/>
          <w:szCs w:val="22"/>
        </w:rPr>
      </w:pPr>
      <w:r>
        <w:rPr>
          <w:rFonts w:asciiTheme="minorBidi" w:hAnsiTheme="minorBidi"/>
          <w:sz w:val="22"/>
          <w:szCs w:val="22"/>
        </w:rPr>
        <w:t xml:space="preserve">NIMH CREST: </w:t>
      </w:r>
      <w:hyperlink r:id="rId11" w:history="1">
        <w:r w:rsidRPr="00602339">
          <w:rPr>
            <w:rStyle w:val="Hyperlink"/>
            <w:rFonts w:asciiTheme="minorBidi" w:hAnsiTheme="minorBidi"/>
            <w:sz w:val="22"/>
            <w:szCs w:val="22"/>
          </w:rPr>
          <w:t>https://www.nimh.nih.gov/funding/clinical-research/nimh-clinical-research-education-support-and-training-crest-program.shtml</w:t>
        </w:r>
      </w:hyperlink>
      <w:r>
        <w:rPr>
          <w:rFonts w:asciiTheme="minorBidi" w:hAnsiTheme="minorBidi"/>
          <w:sz w:val="22"/>
          <w:szCs w:val="22"/>
        </w:rPr>
        <w:t xml:space="preserve"> </w:t>
      </w:r>
    </w:p>
    <w:sectPr w:rsidR="00550695" w:rsidRPr="00134373" w:rsidSect="008D16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B6BE0"/>
    <w:multiLevelType w:val="hybridMultilevel"/>
    <w:tmpl w:val="6DFA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43337B"/>
    <w:multiLevelType w:val="hybridMultilevel"/>
    <w:tmpl w:val="4FE0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D16141"/>
    <w:multiLevelType w:val="hybridMultilevel"/>
    <w:tmpl w:val="AFE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60F8E"/>
    <w:multiLevelType w:val="multilevel"/>
    <w:tmpl w:val="CF70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D12321"/>
    <w:multiLevelType w:val="hybridMultilevel"/>
    <w:tmpl w:val="E9B0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5417B1"/>
    <w:multiLevelType w:val="multilevel"/>
    <w:tmpl w:val="29C0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EC586E"/>
    <w:multiLevelType w:val="hybridMultilevel"/>
    <w:tmpl w:val="758A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373"/>
    <w:rsid w:val="00072379"/>
    <w:rsid w:val="000F4C96"/>
    <w:rsid w:val="00134373"/>
    <w:rsid w:val="001523A8"/>
    <w:rsid w:val="002123C4"/>
    <w:rsid w:val="002B3D1F"/>
    <w:rsid w:val="00365D69"/>
    <w:rsid w:val="00496A39"/>
    <w:rsid w:val="005103AA"/>
    <w:rsid w:val="00550695"/>
    <w:rsid w:val="005D53D4"/>
    <w:rsid w:val="006B155F"/>
    <w:rsid w:val="006D0446"/>
    <w:rsid w:val="008D163E"/>
    <w:rsid w:val="00E0200C"/>
    <w:rsid w:val="00E3246C"/>
    <w:rsid w:val="00E968C2"/>
    <w:rsid w:val="00FE59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3184"/>
  <w15:chartTrackingRefBased/>
  <w15:docId w15:val="{8B0D1B38-FD55-FA47-98A1-EBF0B358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53D4"/>
    <w:rPr>
      <w:rFonts w:ascii="Times New Roman" w:hAnsi="Times New Roman" w:cs="Times New Roman"/>
    </w:rPr>
  </w:style>
  <w:style w:type="paragraph" w:styleId="ListParagraph">
    <w:name w:val="List Paragraph"/>
    <w:basedOn w:val="Normal"/>
    <w:uiPriority w:val="34"/>
    <w:qFormat/>
    <w:rsid w:val="00496A39"/>
    <w:pPr>
      <w:ind w:left="720"/>
      <w:contextualSpacing/>
    </w:pPr>
  </w:style>
  <w:style w:type="character" w:styleId="Hyperlink">
    <w:name w:val="Hyperlink"/>
    <w:basedOn w:val="DefaultParagraphFont"/>
    <w:uiPriority w:val="99"/>
    <w:unhideWhenUsed/>
    <w:rsid w:val="00496A39"/>
    <w:rPr>
      <w:color w:val="0563C1" w:themeColor="hyperlink"/>
      <w:u w:val="single"/>
    </w:rPr>
  </w:style>
  <w:style w:type="character" w:styleId="UnresolvedMention">
    <w:name w:val="Unresolved Mention"/>
    <w:basedOn w:val="DefaultParagraphFont"/>
    <w:uiPriority w:val="99"/>
    <w:semiHidden/>
    <w:unhideWhenUsed/>
    <w:rsid w:val="00496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017637">
      <w:bodyDiv w:val="1"/>
      <w:marLeft w:val="0"/>
      <w:marRight w:val="0"/>
      <w:marTop w:val="0"/>
      <w:marBottom w:val="0"/>
      <w:divBdr>
        <w:top w:val="none" w:sz="0" w:space="0" w:color="auto"/>
        <w:left w:val="none" w:sz="0" w:space="0" w:color="auto"/>
        <w:bottom w:val="none" w:sz="0" w:space="0" w:color="auto"/>
        <w:right w:val="none" w:sz="0" w:space="0" w:color="auto"/>
      </w:divBdr>
    </w:div>
    <w:div w:id="118679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h.gov/research-training/rigor-reproducibility/trai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rants.nih.gov/policy/reproducibility/training.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hsr.pitt.edu/activities-services/" TargetMode="External"/><Relationship Id="rId11" Type="http://schemas.openxmlformats.org/officeDocument/2006/relationships/hyperlink" Target="https://www.nimh.nih.gov/funding/clinical-research/nimh-clinical-research-education-support-and-training-crest-program.shtml" TargetMode="External"/><Relationship Id="rId5" Type="http://schemas.openxmlformats.org/officeDocument/2006/relationships/hyperlink" Target="https://ctsi.pitt.edu/education-training/responsible-conduct-of-research-training/" TargetMode="External"/><Relationship Id="rId10" Type="http://schemas.openxmlformats.org/officeDocument/2006/relationships/hyperlink" Target="https://orwh.od.nih.gov/sex-gender/methods-techniques-integrating-sex-research" TargetMode="External"/><Relationship Id="rId4" Type="http://schemas.openxmlformats.org/officeDocument/2006/relationships/webSettings" Target="webSettings.xml"/><Relationship Id="rId9" Type="http://schemas.openxmlformats.org/officeDocument/2006/relationships/hyperlink" Target="https://www.nigms.nih.gov/training/pages/clearinghouse-for-training-modules-to-enhance-data-reproducibili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Kienholz, Michelle Louise</dc:creator>
  <cp:keywords/>
  <dc:description/>
  <cp:lastModifiedBy>Shawn Freeburger</cp:lastModifiedBy>
  <cp:revision>2</cp:revision>
  <dcterms:created xsi:type="dcterms:W3CDTF">2021-04-01T12:52:00Z</dcterms:created>
  <dcterms:modified xsi:type="dcterms:W3CDTF">2021-04-01T12:52:00Z</dcterms:modified>
</cp:coreProperties>
</file>